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C00A25"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C00A25"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C00A25"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12933"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760E00" w:rsidRPr="00712933" w:rsidRDefault="00712933" w:rsidP="00760E00">
            <w:pP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95423A1" w:rsidR="00760E00" w:rsidRPr="00170E43" w:rsidRDefault="00712933" w:rsidP="00712933">
            <w:pPr>
              <w:ind w:left="38" w:hanging="38"/>
              <w:rPr>
                <w:rFonts w:ascii="Arial" w:hAnsi="Arial" w:cs="Arial"/>
                <w:b/>
                <w:sz w:val="14"/>
                <w:szCs w:val="14"/>
                <w:lang w:val="en-GB"/>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760E00" w:rsidRPr="00A13C36" w:rsidRDefault="00F27191" w:rsidP="00760E00">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760E00" w:rsidRPr="00712933" w:rsidRDefault="00712933" w:rsidP="00760E00">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5857292B" w:rsidR="00760E00" w:rsidRPr="00845EE0" w:rsidRDefault="00760E00" w:rsidP="00F27191">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D1DA788" w:rsidR="00760E00" w:rsidRPr="003A17FB" w:rsidRDefault="003A17FB" w:rsidP="00760E00">
            <w:pP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5BFFE4BF"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4DD148C" w:rsidR="00760E00" w:rsidRPr="00845EE0" w:rsidRDefault="00760E00" w:rsidP="003A17FB">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4A4F81"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0EAB61AA" w:rsidR="00760E00" w:rsidRPr="00A13C36" w:rsidRDefault="004A4F81" w:rsidP="00760E00">
            <w:pP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373157AC" w:rsidR="00760E00" w:rsidRPr="004A4F81" w:rsidRDefault="004A4F81" w:rsidP="004A4F81">
            <w:pPr>
              <w:rPr>
                <w:rFonts w:ascii="Arial" w:hAnsi="Arial" w:cs="Arial"/>
                <w:b/>
                <w:sz w:val="14"/>
                <w:szCs w:val="14"/>
                <w:lang w:val="en-GB"/>
              </w:rPr>
            </w:pPr>
            <w:r w:rsidRPr="00C2720A">
              <w:rPr>
                <w:rFonts w:ascii="Arial" w:hAnsi="Arial" w:cs="Arial"/>
                <w:b/>
                <w:sz w:val="14"/>
                <w:szCs w:val="14"/>
                <w:lang w:val="en-GB"/>
              </w:rPr>
              <w:t>€</w:t>
            </w:r>
            <w:r>
              <w:rPr>
                <w:rFonts w:ascii="Arial" w:hAnsi="Arial" w:cs="Arial"/>
                <w:b/>
                <w:sz w:val="14"/>
                <w:szCs w:val="14"/>
                <w:lang w:val="en-GB"/>
              </w:rPr>
              <w:t>6</w:t>
            </w:r>
            <w:r w:rsidRPr="00C2720A">
              <w:rPr>
                <w:rFonts w:ascii="Arial" w:hAnsi="Arial" w:cs="Arial"/>
                <w:b/>
                <w:sz w:val="14"/>
                <w:szCs w:val="14"/>
                <w:lang w:val="en-GB"/>
              </w:rPr>
              <w:t xml:space="preserve"> </w:t>
            </w:r>
            <w:r>
              <w:rPr>
                <w:rFonts w:ascii="Arial" w:hAnsi="Arial" w:cs="Arial"/>
                <w:b/>
                <w:sz w:val="14"/>
                <w:szCs w:val="14"/>
                <w:lang w:val="en-GB"/>
              </w:rPr>
              <w:t xml:space="preserve">SILVER COLLECTOR COIN 2025 “INTERNATIONAL YEAR OF GLACIERS’ </w:t>
            </w:r>
            <w:r w:rsidRPr="004A4F81">
              <w:rPr>
                <w:rFonts w:ascii="Arial" w:hAnsi="Arial" w:cs="Arial"/>
                <w:b/>
                <w:sz w:val="14"/>
                <w:szCs w:val="14"/>
                <w:lang w:val="en-GB"/>
              </w:rPr>
              <w:t>PRESERVATION</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15E32C5A"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40,32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BDD0629"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4CD9C4B2" w:rsidR="00760E00" w:rsidRPr="004A4F81" w:rsidRDefault="00760E00" w:rsidP="00760E00">
            <w:pPr>
              <w:spacing w:line="276" w:lineRule="auto"/>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C00A25" w:rsidRPr="00C00A25"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0D235640" w:rsidR="00C00A25" w:rsidRPr="004E762D" w:rsidRDefault="00C00A25" w:rsidP="00C00A25">
            <w:pPr>
              <w:rPr>
                <w:rFonts w:ascii="Arial" w:hAnsi="Arial" w:cs="Arial"/>
                <w:b/>
                <w:sz w:val="14"/>
                <w:szCs w:val="14"/>
                <w:lang w:val="en-GB"/>
              </w:rPr>
            </w:pPr>
            <w:r w:rsidRPr="00C00A25">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21B3C7CA" w:rsidR="00C00A25" w:rsidRPr="004E762D" w:rsidRDefault="00C00A25" w:rsidP="00C00A25">
            <w:pPr>
              <w:rPr>
                <w:rFonts w:ascii="Arial" w:hAnsi="Arial" w:cs="Arial"/>
                <w:b/>
                <w:sz w:val="14"/>
                <w:szCs w:val="14"/>
                <w:lang w:val="en-GB"/>
              </w:rPr>
            </w:pPr>
            <w:r w:rsidRPr="00C2720A">
              <w:rPr>
                <w:rFonts w:ascii="Arial" w:hAnsi="Arial" w:cs="Arial"/>
                <w:b/>
                <w:sz w:val="14"/>
                <w:szCs w:val="14"/>
                <w:lang w:val="en-GB"/>
              </w:rPr>
              <w:t>€</w:t>
            </w:r>
            <w:r>
              <w:rPr>
                <w:rFonts w:ascii="Arial" w:hAnsi="Arial" w:cs="Arial"/>
                <w:b/>
                <w:sz w:val="14"/>
                <w:szCs w:val="14"/>
                <w:lang w:val="en-GB"/>
              </w:rPr>
              <w:t>5</w:t>
            </w:r>
            <w:r w:rsidRPr="00C2720A">
              <w:rPr>
                <w:rFonts w:ascii="Arial" w:hAnsi="Arial" w:cs="Arial"/>
                <w:b/>
                <w:sz w:val="14"/>
                <w:szCs w:val="14"/>
                <w:lang w:val="en-GB"/>
              </w:rPr>
              <w:t xml:space="preserve"> </w:t>
            </w:r>
            <w:r>
              <w:rPr>
                <w:rFonts w:ascii="Arial" w:hAnsi="Arial" w:cs="Arial"/>
                <w:b/>
                <w:sz w:val="14"/>
                <w:szCs w:val="14"/>
                <w:lang w:val="en-GB"/>
              </w:rPr>
              <w:t>SILVER COLLECTOR COIN 2025 “</w:t>
            </w:r>
            <w:r>
              <w:rPr>
                <w:rFonts w:ascii="Arial" w:hAnsi="Arial" w:cs="Arial"/>
                <w:b/>
                <w:sz w:val="14"/>
                <w:szCs w:val="14"/>
                <w:lang w:val="en-GB"/>
              </w:rPr>
              <w:t>50 YEARS FROM THE FOUNDATION OF THE WAR MUSEUM”</w:t>
            </w:r>
          </w:p>
        </w:tc>
        <w:tc>
          <w:tcPr>
            <w:tcW w:w="851" w:type="dxa"/>
            <w:tcBorders>
              <w:top w:val="nil"/>
              <w:left w:val="nil"/>
              <w:bottom w:val="single" w:sz="4" w:space="0" w:color="auto"/>
              <w:right w:val="single" w:sz="4" w:space="0" w:color="auto"/>
            </w:tcBorders>
            <w:shd w:val="clear" w:color="auto" w:fill="auto"/>
            <w:noWrap/>
            <w:vAlign w:val="center"/>
          </w:tcPr>
          <w:p w14:paraId="5B696D8A" w14:textId="4D232AB6" w:rsidR="00C00A25" w:rsidRPr="004E762D" w:rsidRDefault="00C00A25" w:rsidP="00C00A25">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592A7510" w:rsidR="00C00A25" w:rsidRPr="00A13C36" w:rsidRDefault="00C00A25" w:rsidP="00C00A25">
            <w:pPr>
              <w:jc w:val="center"/>
              <w:rPr>
                <w:rFonts w:ascii="Arial" w:hAnsi="Arial" w:cs="Arial"/>
                <w:b/>
                <w:sz w:val="16"/>
                <w:szCs w:val="14"/>
                <w:lang w:val="en-US"/>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595BD15B" w:rsidR="00C00A25" w:rsidRPr="00845EE0" w:rsidRDefault="00C00A25" w:rsidP="00C00A25">
            <w:pPr>
              <w:jc w:val="center"/>
              <w:rPr>
                <w:rFonts w:ascii="Arial" w:hAnsi="Arial" w:cs="Arial"/>
                <w:b/>
                <w:sz w:val="18"/>
                <w:szCs w:val="18"/>
                <w:lang w:val="en-GB"/>
              </w:rPr>
            </w:pPr>
            <w:r w:rsidRPr="00C00A25">
              <w:rPr>
                <w:rFonts w:ascii="Arial" w:hAnsi="Arial" w:cs="Arial"/>
                <w:b/>
                <w:sz w:val="16"/>
                <w:szCs w:val="14"/>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C00A25" w:rsidRPr="00B726EA" w:rsidRDefault="00C00A25" w:rsidP="00C00A25">
            <w:pPr>
              <w:rPr>
                <w:rFonts w:ascii="Arial" w:hAnsi="Arial" w:cs="Arial"/>
                <w:b/>
                <w:sz w:val="14"/>
                <w:szCs w:val="14"/>
                <w:lang w:val="en-GB"/>
              </w:rPr>
            </w:pPr>
          </w:p>
        </w:tc>
      </w:tr>
      <w:tr w:rsidR="00C00A25" w:rsidRPr="00C00A25"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C00A25" w:rsidRPr="00AD6547" w:rsidRDefault="00C00A25" w:rsidP="00C00A25">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C00A25" w:rsidRPr="004C25FA" w:rsidRDefault="00C00A25" w:rsidP="00C00A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C00A25" w:rsidRPr="00760E00" w:rsidRDefault="00C00A25" w:rsidP="00C00A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C00A25" w:rsidRPr="00A13C36" w:rsidRDefault="00C00A25" w:rsidP="00C00A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C00A25" w:rsidRPr="00AD6547" w:rsidRDefault="00C00A25" w:rsidP="00C00A25">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C00A25" w:rsidRPr="00E66172" w:rsidRDefault="00C00A25" w:rsidP="00C00A25">
            <w:pPr>
              <w:rPr>
                <w:rFonts w:ascii="Arial" w:hAnsi="Arial" w:cs="Arial"/>
                <w:b/>
                <w:sz w:val="20"/>
                <w:szCs w:val="20"/>
                <w:lang w:val="en-US"/>
              </w:rPr>
            </w:pPr>
          </w:p>
        </w:tc>
      </w:tr>
      <w:tr w:rsidR="00C00A25" w:rsidRPr="00C00A25"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C00A25" w:rsidRPr="00F24FC7" w:rsidRDefault="00C00A25" w:rsidP="00C00A25">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C00A25" w:rsidRPr="009A3EF4" w:rsidRDefault="00C00A25" w:rsidP="00C00A25">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C00A25" w:rsidRPr="00F24FC7" w:rsidRDefault="00C00A25" w:rsidP="00C00A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C00A25" w:rsidRPr="00F24FC7" w:rsidRDefault="00C00A25" w:rsidP="00C00A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C00A25" w:rsidRPr="00F24FC7" w:rsidRDefault="00C00A25" w:rsidP="00C00A25">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C00A25" w:rsidRPr="000D415A" w:rsidRDefault="00C00A25" w:rsidP="00C00A25">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C00A25" w:rsidRPr="000D415A" w:rsidRDefault="00C00A25" w:rsidP="00C00A25">
            <w:pPr>
              <w:rPr>
                <w:rFonts w:ascii="Arial" w:hAnsi="Arial" w:cs="Arial"/>
                <w:b/>
                <w:sz w:val="14"/>
                <w:szCs w:val="14"/>
                <w:highlight w:val="red"/>
                <w:lang w:val="en-GB"/>
              </w:rPr>
            </w:pPr>
          </w:p>
        </w:tc>
      </w:tr>
      <w:tr w:rsidR="00C00A25" w:rsidRPr="00C00A25"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C00A25" w:rsidRPr="00553222" w:rsidRDefault="00C00A25" w:rsidP="00C00A25">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C00A25" w:rsidRPr="009E4F1A" w:rsidRDefault="00C00A25" w:rsidP="00C00A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C00A25" w:rsidRPr="00680B52" w:rsidRDefault="00C00A25" w:rsidP="00C00A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C00A25" w:rsidRPr="00680B52" w:rsidRDefault="00C00A25" w:rsidP="00C00A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C00A25" w:rsidRPr="00680B52" w:rsidRDefault="00C00A25" w:rsidP="00C00A25">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C00A25" w:rsidRPr="00B726EA" w:rsidRDefault="00C00A25" w:rsidP="00C00A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C00A25" w:rsidRPr="00B726EA" w:rsidRDefault="00C00A25" w:rsidP="00C00A25">
            <w:pPr>
              <w:rPr>
                <w:rFonts w:ascii="Arial" w:hAnsi="Arial" w:cs="Arial"/>
                <w:b/>
                <w:sz w:val="14"/>
                <w:szCs w:val="14"/>
                <w:lang w:val="en-GB"/>
              </w:rPr>
            </w:pPr>
          </w:p>
        </w:tc>
      </w:tr>
      <w:tr w:rsidR="00C00A25" w:rsidRPr="00C00A25"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C00A25" w:rsidRPr="00553222" w:rsidRDefault="00C00A25" w:rsidP="00C00A25">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C00A25" w:rsidRDefault="00C00A25" w:rsidP="00C00A25">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C00A25" w:rsidRPr="00680B52" w:rsidRDefault="00C00A25" w:rsidP="00C00A25">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C00A25" w:rsidRPr="00680B52" w:rsidRDefault="00C00A25" w:rsidP="00C00A25">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C00A25" w:rsidRPr="00680B52" w:rsidRDefault="00C00A25" w:rsidP="00C00A25">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C00A25" w:rsidRDefault="00C00A25" w:rsidP="00C00A25">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C00A25" w:rsidRDefault="00C00A25" w:rsidP="00C00A25">
            <w:pPr>
              <w:rPr>
                <w:rFonts w:ascii="Arial" w:hAnsi="Arial" w:cs="Arial"/>
                <w:b/>
                <w:sz w:val="20"/>
                <w:szCs w:val="20"/>
                <w:lang w:val="en-US"/>
              </w:rPr>
            </w:pPr>
          </w:p>
        </w:tc>
      </w:tr>
      <w:tr w:rsidR="00C00A25"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C00A25" w:rsidRPr="004E0CB2" w:rsidRDefault="00C00A25" w:rsidP="00C00A25">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C00A25" w:rsidRPr="002F25E3" w:rsidRDefault="00C00A25" w:rsidP="00C00A25">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C00A25" w:rsidRPr="006965D5" w:rsidRDefault="00C00A25" w:rsidP="00C00A25">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C00A25" w:rsidRPr="00B726EA" w:rsidRDefault="00C00A25" w:rsidP="00C00A25">
            <w:pPr>
              <w:jc w:val="center"/>
              <w:rPr>
                <w:rFonts w:ascii="Arial" w:hAnsi="Arial" w:cs="Arial"/>
                <w:sz w:val="20"/>
                <w:szCs w:val="20"/>
                <w:lang w:val="en-GB"/>
              </w:rPr>
            </w:pPr>
          </w:p>
        </w:tc>
      </w:tr>
      <w:tr w:rsidR="00C00A25"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C00A25" w:rsidRPr="00B726EA" w:rsidRDefault="00C00A25" w:rsidP="00C00A25">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C00A25" w:rsidRPr="006965D5" w:rsidRDefault="00C00A25" w:rsidP="00C00A25">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C00A25" w:rsidRPr="00B726EA" w:rsidRDefault="00C00A25" w:rsidP="00C00A25">
            <w:pPr>
              <w:jc w:val="center"/>
              <w:rPr>
                <w:rFonts w:ascii="Arial" w:hAnsi="Arial" w:cs="Arial"/>
                <w:b/>
                <w:sz w:val="20"/>
                <w:szCs w:val="20"/>
                <w:lang w:val="en-GB"/>
              </w:rPr>
            </w:pPr>
          </w:p>
        </w:tc>
      </w:tr>
      <w:tr w:rsidR="00C00A25" w:rsidRPr="00C00A25"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C00A25" w:rsidRPr="00B726EA" w:rsidRDefault="00C00A25" w:rsidP="00C00A25">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C00A25"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C00A25"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wjNWXeHPLwDpCm+h81pNKSDlegtxTXzW2Y7VTCgrsZMFoEfu0efzUo8xatv4MNpg3xC6nOOOYmQVcufCJiXiYA==" w:salt="53NpznnQV5vqGP31h78SO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A4F81"/>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4125"/>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00A25"/>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F617-4C08-4723-B799-4CF19626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