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3020DB4D"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2023</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C249E3" w14:textId="0661AA25" w:rsidR="00141D81"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191F18">
              <w:rPr>
                <w:rFonts w:ascii="Arial" w:hAnsi="Arial" w:cs="Arial"/>
                <w:b/>
                <w:sz w:val="14"/>
                <w:szCs w:val="16"/>
              </w:rPr>
              <w:t>ΡΟ ΣΥΛΛΕΚΤΙΚΟ ΝΟΜΙΣΜΑ «ΕΛΛΗΝΙΚΟΣ</w:t>
            </w:r>
            <w:r w:rsidR="00B24736" w:rsidRPr="002E296E">
              <w:rPr>
                <w:rFonts w:ascii="Arial" w:hAnsi="Arial" w:cs="Arial"/>
                <w:b/>
                <w:sz w:val="14"/>
                <w:szCs w:val="16"/>
              </w:rPr>
              <w:t xml:space="preserve"> ΠΟΛΙΤΙΣΜΟΣ</w:t>
            </w:r>
            <w:r w:rsidR="00191F18" w:rsidRPr="00191F18">
              <w:rPr>
                <w:rFonts w:ascii="Arial" w:hAnsi="Arial" w:cs="Arial"/>
                <w:b/>
                <w:sz w:val="14"/>
                <w:szCs w:val="16"/>
              </w:rPr>
              <w:t xml:space="preserve"> </w:t>
            </w:r>
            <w:r w:rsidRPr="002E296E">
              <w:rPr>
                <w:rFonts w:ascii="Arial" w:hAnsi="Arial" w:cs="Arial"/>
                <w:b/>
                <w:sz w:val="14"/>
                <w:szCs w:val="16"/>
              </w:rPr>
              <w:t>–</w:t>
            </w:r>
            <w:r w:rsidR="00C52437" w:rsidRPr="002E296E">
              <w:rPr>
                <w:rFonts w:ascii="Arial" w:hAnsi="Arial" w:cs="Arial"/>
                <w:b/>
                <w:sz w:val="14"/>
                <w:szCs w:val="16"/>
              </w:rPr>
              <w:t xml:space="preserve"> </w:t>
            </w:r>
          </w:p>
          <w:p w14:paraId="677BDA33" w14:textId="4F2993F3" w:rsidR="00B24736" w:rsidRPr="002E296E" w:rsidRDefault="00141D81" w:rsidP="000D1A7E">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sidR="00C52437" w:rsidRPr="002E296E">
              <w:rPr>
                <w:rFonts w:ascii="Arial" w:hAnsi="Arial" w:cs="Arial"/>
                <w:b/>
                <w:sz w:val="14"/>
                <w:szCs w:val="16"/>
                <w:lang w:val="en-US"/>
              </w:rPr>
              <w:t>H</w:t>
            </w:r>
            <w:r w:rsidR="00C52437" w:rsidRPr="002E296E">
              <w:rPr>
                <w:rFonts w:ascii="Arial" w:hAnsi="Arial" w:cs="Arial"/>
                <w:b/>
                <w:sz w:val="14"/>
                <w:szCs w:val="16"/>
              </w:rPr>
              <w:t xml:space="preserve"> </w:t>
            </w:r>
            <w:r w:rsidR="00B24736" w:rsidRPr="002E296E">
              <w:rPr>
                <w:rFonts w:ascii="Arial" w:hAnsi="Arial" w:cs="Arial"/>
                <w:b/>
                <w:sz w:val="14"/>
                <w:szCs w:val="16"/>
              </w:rPr>
              <w:t>ΑΥΤΟΜΑΤΗ ΘΕΡΑΠΑΙΝΙΔΑ ΤΟΥ ΦΙΛΩΝΑ»</w:t>
            </w:r>
          </w:p>
        </w:tc>
        <w:tc>
          <w:tcPr>
            <w:tcW w:w="992" w:type="dxa"/>
            <w:tcBorders>
              <w:top w:val="nil"/>
              <w:left w:val="nil"/>
              <w:bottom w:val="single" w:sz="4" w:space="0" w:color="auto"/>
              <w:right w:val="single" w:sz="4" w:space="0" w:color="auto"/>
            </w:tcBorders>
            <w:shd w:val="clear" w:color="auto" w:fill="auto"/>
            <w:noWrap/>
            <w:vAlign w:val="center"/>
          </w:tcPr>
          <w:p w14:paraId="156EC2BA" w14:textId="77777777" w:rsidR="00B24736" w:rsidRPr="00066D09" w:rsidRDefault="00B24736" w:rsidP="00B24736">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82B869"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59F37DD1" w14:textId="77777777" w:rsidTr="009053CB">
        <w:trPr>
          <w:trHeight w:hRule="exact" w:val="41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465732" w:rsidRPr="00191F18" w:rsidRDefault="00465732" w:rsidP="00465732">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7C8CB3B8" w14:textId="77777777" w:rsidR="00465732" w:rsidRPr="002E296E" w:rsidRDefault="00465732" w:rsidP="00465732">
            <w:pPr>
              <w:rPr>
                <w:rFonts w:ascii="Arial" w:hAnsi="Arial" w:cs="Arial"/>
                <w:b/>
                <w:sz w:val="14"/>
                <w:szCs w:val="16"/>
              </w:rPr>
            </w:pPr>
            <w:r w:rsidRPr="002E296E">
              <w:rPr>
                <w:rFonts w:ascii="Arial" w:hAnsi="Arial" w:cs="Arial"/>
                <w:b/>
                <w:sz w:val="14"/>
                <w:szCs w:val="16"/>
              </w:rPr>
              <w:t xml:space="preserve">€10 ΑΡΓΥΡΟ ΣΥΛΛΕΚΤΙΚΟ ΝΟΜΙΣΜΑ «ΕΛΛΗΝΙΚΟΣ ΠΟΛΙΤΙΣΜΟΣ – </w:t>
            </w:r>
          </w:p>
          <w:p w14:paraId="06A08745" w14:textId="33BCFC3E" w:rsidR="00465732" w:rsidRPr="002E296E" w:rsidRDefault="00465732" w:rsidP="00465732">
            <w:pPr>
              <w:rPr>
                <w:rFonts w:ascii="Arial" w:hAnsi="Arial" w:cs="Arial"/>
                <w:b/>
                <w:sz w:val="14"/>
                <w:szCs w:val="16"/>
              </w:rPr>
            </w:pPr>
            <w:r w:rsidRPr="002E296E">
              <w:rPr>
                <w:rFonts w:ascii="Arial" w:hAnsi="Arial" w:cs="Arial"/>
                <w:b/>
                <w:sz w:val="14"/>
                <w:szCs w:val="16"/>
              </w:rPr>
              <w:t xml:space="preserve">– </w:t>
            </w:r>
            <w:r w:rsidRPr="002E296E">
              <w:rPr>
                <w:rFonts w:ascii="Arial" w:hAnsi="Arial" w:cs="Arial"/>
                <w:b/>
                <w:sz w:val="14"/>
                <w:szCs w:val="16"/>
                <w:lang w:val="en-US"/>
              </w:rPr>
              <w:t>MA</w:t>
            </w:r>
            <w:r w:rsidRPr="002E296E">
              <w:rPr>
                <w:rFonts w:ascii="Arial" w:hAnsi="Arial" w:cs="Arial"/>
                <w:b/>
                <w:sz w:val="14"/>
                <w:szCs w:val="16"/>
              </w:rPr>
              <w:t>ΘΗΜΑΤΙΚΟΙ - ΕΥΚΛΕΙΔΗΣ»</w:t>
            </w:r>
          </w:p>
        </w:tc>
        <w:tc>
          <w:tcPr>
            <w:tcW w:w="992" w:type="dxa"/>
            <w:tcBorders>
              <w:top w:val="nil"/>
              <w:left w:val="nil"/>
              <w:bottom w:val="single" w:sz="4" w:space="0" w:color="auto"/>
              <w:right w:val="single" w:sz="4" w:space="0" w:color="auto"/>
            </w:tcBorders>
            <w:shd w:val="clear" w:color="auto" w:fill="auto"/>
            <w:noWrap/>
            <w:vAlign w:val="center"/>
          </w:tcPr>
          <w:p w14:paraId="57722547" w14:textId="1B94800E"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2E88FD34" w:rsidR="00465732" w:rsidRPr="00221BD1" w:rsidRDefault="00465732" w:rsidP="00465732">
            <w:pPr>
              <w:jc w:val="center"/>
              <w:rPr>
                <w:rFonts w:ascii="Arial" w:hAnsi="Arial" w:cs="Arial"/>
                <w:b/>
                <w:sz w:val="16"/>
                <w:szCs w:val="16"/>
                <w:lang w:val="en-US"/>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266709E6" w14:textId="1CBE9A76" w:rsidR="00465732" w:rsidRPr="00465732" w:rsidRDefault="00D73C96" w:rsidP="00465732">
            <w:pPr>
              <w:jc w:val="center"/>
              <w:rPr>
                <w:rFonts w:ascii="Arial" w:hAnsi="Arial" w:cs="Arial"/>
                <w:sz w:val="20"/>
                <w:szCs w:val="20"/>
                <w:lang w:val="en-US"/>
              </w:rPr>
            </w:pPr>
            <w:r w:rsidRPr="00465732">
              <w:rPr>
                <w:rFonts w:ascii="Arial" w:hAnsi="Arial" w:cs="Arial"/>
                <w:b/>
                <w:sz w:val="22"/>
                <w:szCs w:val="22"/>
              </w:rPr>
              <w:t>ΕΞΑΝΤΛΗΘΗΚΕ</w:t>
            </w:r>
            <w:r>
              <w:rPr>
                <w:rFonts w:ascii="Arial" w:hAnsi="Arial" w:cs="Arial"/>
                <w:sz w:val="20"/>
                <w:szCs w:val="20"/>
              </w:rPr>
              <w:t xml:space="preserve"> </w:t>
            </w:r>
            <w:r w:rsidR="00465732">
              <w:rPr>
                <w:rFonts w:ascii="Arial" w:hAnsi="Arial" w:cs="Arial"/>
                <w:sz w:val="20"/>
                <w:szCs w:val="20"/>
              </w:rPr>
              <w:fldChar w:fldCharType="begin"/>
            </w:r>
            <w:r w:rsidR="00465732">
              <w:rPr>
                <w:rFonts w:ascii="Arial" w:hAnsi="Arial" w:cs="Arial"/>
                <w:sz w:val="20"/>
                <w:szCs w:val="20"/>
              </w:rPr>
              <w:instrText xml:space="preserve"> FILLIN  "Παρακαλούμε συμπληρώστε τα ζητούμενα στοιχεία"  \* MERGEFORMAT </w:instrText>
            </w:r>
            <w:r w:rsidR="00465732">
              <w:rPr>
                <w:rFonts w:ascii="Arial" w:hAnsi="Arial" w:cs="Arial"/>
                <w:sz w:val="20"/>
                <w:szCs w:val="20"/>
              </w:rPr>
              <w:fldChar w:fldCharType="end"/>
            </w:r>
            <w:r w:rsidR="00465732" w:rsidRPr="00465732">
              <w:rPr>
                <w:rFonts w:ascii="Arial" w:hAnsi="Arial" w:cs="Arial"/>
                <w:b/>
                <w:sz w:val="22"/>
                <w:szCs w:val="22"/>
              </w:rPr>
              <w:fldChar w:fldCharType="begin"/>
            </w:r>
            <w:r w:rsidR="00465732" w:rsidRPr="00465732">
              <w:rPr>
                <w:rFonts w:ascii="Arial" w:hAnsi="Arial" w:cs="Arial"/>
                <w:b/>
                <w:sz w:val="22"/>
                <w:szCs w:val="22"/>
              </w:rPr>
              <w:instrText xml:space="preserve"> FILLIN  "Παρακαλούμε συμπληρώστε τα ζητούμενα στοιχεία"  \* MERGEFORMAT </w:instrText>
            </w:r>
            <w:r w:rsidR="00465732" w:rsidRPr="00465732">
              <w:rPr>
                <w:rFonts w:ascii="Arial" w:hAnsi="Arial" w:cs="Arial"/>
                <w:b/>
                <w:sz w:val="22"/>
                <w:szCs w:val="22"/>
              </w:rPr>
              <w:fldChar w:fldCharType="end"/>
            </w:r>
          </w:p>
        </w:tc>
      </w:tr>
      <w:tr w:rsidR="00465732" w14:paraId="205FF749" w14:textId="77777777" w:rsidTr="009053CB">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465732" w:rsidRPr="00A241F6" w:rsidRDefault="00465732" w:rsidP="00465732">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523F58AD" w:rsidR="00465732" w:rsidRPr="002E296E" w:rsidRDefault="00465732" w:rsidP="00465732">
            <w:pPr>
              <w:rPr>
                <w:rFonts w:ascii="Arial" w:hAnsi="Arial" w:cs="Arial"/>
                <w:b/>
                <w:sz w:val="14"/>
                <w:szCs w:val="16"/>
              </w:rPr>
            </w:pPr>
            <w:r w:rsidRPr="002E296E">
              <w:rPr>
                <w:rFonts w:ascii="Arial" w:hAnsi="Arial" w:cs="Arial"/>
                <w:b/>
                <w:sz w:val="14"/>
                <w:szCs w:val="16"/>
              </w:rPr>
              <w:t>€10 ΑΡΓΥΡΟ ΣΥΛΛΕΚΤΙΚΟ ΝΟΜΙΣΜΑ «ΦΙΛΕΛΛΗΝΕΣ – ΚΑΡΟΛΟΣ ΝΟΡΜΑΝ»</w:t>
            </w:r>
          </w:p>
        </w:tc>
        <w:tc>
          <w:tcPr>
            <w:tcW w:w="992" w:type="dxa"/>
            <w:tcBorders>
              <w:top w:val="nil"/>
              <w:left w:val="nil"/>
              <w:bottom w:val="single" w:sz="4" w:space="0" w:color="auto"/>
              <w:right w:val="single" w:sz="4" w:space="0" w:color="auto"/>
            </w:tcBorders>
            <w:shd w:val="clear" w:color="auto" w:fill="auto"/>
            <w:noWrap/>
            <w:vAlign w:val="center"/>
          </w:tcPr>
          <w:p w14:paraId="5CE65124" w14:textId="4CEF5BF2"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3414DE8"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301B8DA9"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9053CB">
        <w:trPr>
          <w:trHeight w:hRule="exact" w:val="3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D73C96" w:rsidRPr="00D73C96" w:rsidRDefault="00D73C96" w:rsidP="00D73C96">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19AA2628" w:rsidR="00D73C96" w:rsidRPr="002E296E" w:rsidRDefault="00D73C96" w:rsidP="00D73C96">
            <w:pPr>
              <w:rPr>
                <w:rFonts w:ascii="Arial" w:hAnsi="Arial" w:cs="Arial"/>
                <w:b/>
                <w:sz w:val="14"/>
                <w:szCs w:val="16"/>
              </w:rPr>
            </w:pPr>
            <w:r w:rsidRPr="002E296E">
              <w:rPr>
                <w:rFonts w:ascii="Arial" w:hAnsi="Arial" w:cs="Arial"/>
                <w:b/>
                <w:sz w:val="14"/>
                <w:szCs w:val="16"/>
              </w:rPr>
              <w:t>ΣΕΙΡΑ ΕΛΛΗΝΙΚΩΝ ΚΕΡΜΑΤΩΝ ΕΥΡΩ 2023 «ΤΟΥΡΙΣΜΟΣ – ΝΑΥΠΛΙΟ»</w:t>
            </w:r>
          </w:p>
        </w:tc>
        <w:tc>
          <w:tcPr>
            <w:tcW w:w="992" w:type="dxa"/>
            <w:tcBorders>
              <w:top w:val="nil"/>
              <w:left w:val="nil"/>
              <w:bottom w:val="single" w:sz="4" w:space="0" w:color="auto"/>
              <w:right w:val="single" w:sz="4" w:space="0" w:color="auto"/>
            </w:tcBorders>
            <w:shd w:val="clear" w:color="auto" w:fill="auto"/>
            <w:noWrap/>
            <w:vAlign w:val="center"/>
          </w:tcPr>
          <w:p w14:paraId="098B7C2D" w14:textId="37D9D5AA" w:rsidR="00D73C96" w:rsidRPr="004B2099" w:rsidRDefault="00D73C96" w:rsidP="00D73C96">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08F5C68F"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960AB9" w14:paraId="6414C4A1" w14:textId="77777777" w:rsidTr="009053CB">
        <w:trPr>
          <w:trHeight w:hRule="exact" w:val="22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960AB9" w:rsidRPr="00706158" w:rsidRDefault="00960AB9" w:rsidP="00960AB9">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487B292B" w:rsidR="00960AB9" w:rsidRPr="002E296E" w:rsidRDefault="00960AB9" w:rsidP="00960AB9">
            <w:pPr>
              <w:rPr>
                <w:rFonts w:ascii="Arial" w:hAnsi="Arial" w:cs="Arial"/>
                <w:b/>
                <w:sz w:val="14"/>
                <w:szCs w:val="16"/>
              </w:rPr>
            </w:pPr>
            <w:r w:rsidRPr="002E296E">
              <w:rPr>
                <w:rFonts w:ascii="Arial" w:hAnsi="Arial" w:cs="Arial"/>
                <w:b/>
                <w:sz w:val="14"/>
                <w:szCs w:val="16"/>
              </w:rPr>
              <w:t xml:space="preserve">€200 ΧΡΥΣΟ ΣΥΛΛΕΚΤΙΚΟ ΝΟΜΙΣΜΑ «100 </w:t>
            </w:r>
            <w:r w:rsidR="009053CB">
              <w:rPr>
                <w:rFonts w:ascii="Arial" w:hAnsi="Arial" w:cs="Arial"/>
                <w:b/>
                <w:sz w:val="14"/>
                <w:szCs w:val="16"/>
              </w:rPr>
              <w:t>ΧΡΟΝΙΑ ΑΠΟ ΤΗ ΓΕΝΝΗΣΗ ΤΗΣ Μ.</w:t>
            </w:r>
            <w:r w:rsidRPr="002E296E">
              <w:rPr>
                <w:rFonts w:ascii="Arial" w:hAnsi="Arial" w:cs="Arial"/>
                <w:b/>
                <w:sz w:val="14"/>
                <w:szCs w:val="16"/>
              </w:rPr>
              <w:t xml:space="preserve"> ΚΑΛΛΑΣ»</w:t>
            </w:r>
          </w:p>
        </w:tc>
        <w:tc>
          <w:tcPr>
            <w:tcW w:w="992" w:type="dxa"/>
            <w:tcBorders>
              <w:top w:val="nil"/>
              <w:left w:val="nil"/>
              <w:bottom w:val="single" w:sz="4" w:space="0" w:color="auto"/>
              <w:right w:val="single" w:sz="4" w:space="0" w:color="auto"/>
            </w:tcBorders>
            <w:shd w:val="clear" w:color="auto" w:fill="auto"/>
            <w:noWrap/>
            <w:vAlign w:val="center"/>
          </w:tcPr>
          <w:p w14:paraId="0FA52F03" w14:textId="1B248DE9" w:rsidR="00960AB9" w:rsidRPr="004B2099" w:rsidRDefault="00960AB9" w:rsidP="00960AB9">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4AA9EDDC" w:rsidR="00960AB9" w:rsidRPr="004B2099" w:rsidRDefault="00960AB9" w:rsidP="00960AB9">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027402E1" w:rsidR="00960AB9" w:rsidRPr="00066D09" w:rsidRDefault="00960AB9" w:rsidP="00960AB9">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960AB9" w:rsidRPr="002E799B" w:rsidRDefault="00960AB9" w:rsidP="00960AB9">
            <w:pPr>
              <w:jc w:val="center"/>
              <w:rPr>
                <w:rFonts w:ascii="Arial" w:hAnsi="Arial" w:cs="Arial"/>
                <w:b/>
              </w:rPr>
            </w:pPr>
          </w:p>
        </w:tc>
      </w:tr>
      <w:tr w:rsidR="00EA7CCF" w14:paraId="308428DD" w14:textId="77777777" w:rsidTr="009053CB">
        <w:trPr>
          <w:trHeight w:hRule="exact" w:val="29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EA7CCF" w:rsidRPr="00066D09" w:rsidRDefault="00EA7CCF" w:rsidP="00EA7CCF">
            <w:pPr>
              <w:rPr>
                <w:rFonts w:ascii="Arial" w:hAnsi="Arial" w:cs="Arial"/>
                <w:sz w:val="14"/>
                <w:szCs w:val="14"/>
              </w:rPr>
            </w:pPr>
            <w:r w:rsidRPr="009053CB">
              <w:rPr>
                <w:rFonts w:ascii="Arial" w:hAnsi="Arial" w:cs="Arial"/>
                <w:b/>
                <w:sz w:val="14"/>
                <w:szCs w:val="14"/>
              </w:rPr>
              <w:t>6</w:t>
            </w:r>
          </w:p>
        </w:tc>
        <w:tc>
          <w:tcPr>
            <w:tcW w:w="6095" w:type="dxa"/>
            <w:tcBorders>
              <w:top w:val="nil"/>
              <w:left w:val="nil"/>
              <w:bottom w:val="single" w:sz="4" w:space="0" w:color="auto"/>
              <w:right w:val="single" w:sz="4" w:space="0" w:color="auto"/>
            </w:tcBorders>
            <w:shd w:val="clear" w:color="auto" w:fill="auto"/>
            <w:noWrap/>
            <w:vAlign w:val="center"/>
          </w:tcPr>
          <w:p w14:paraId="1B91A813" w14:textId="70ABA731" w:rsidR="00EA7CCF" w:rsidRPr="002E296E" w:rsidRDefault="00EA7CCF" w:rsidP="00EA7CCF">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sidRPr="002E296E">
              <w:rPr>
                <w:rFonts w:ascii="Arial" w:hAnsi="Arial" w:cs="Arial"/>
                <w:b/>
                <w:sz w:val="14"/>
                <w:szCs w:val="16"/>
              </w:rPr>
              <w:t xml:space="preserve"> 2023 «100 ΧΡΟΝΙ</w:t>
            </w:r>
            <w:r w:rsidR="002E78BE" w:rsidRPr="002E296E">
              <w:rPr>
                <w:rFonts w:ascii="Arial" w:hAnsi="Arial" w:cs="Arial"/>
                <w:b/>
                <w:sz w:val="14"/>
                <w:szCs w:val="16"/>
              </w:rPr>
              <w:t>Α ΑΠΟ ΤΗ ΓΕΝΝΗΣΗ ΤΗΣ Μ.</w:t>
            </w:r>
            <w:r w:rsidRPr="002E296E">
              <w:rPr>
                <w:rFonts w:ascii="Arial" w:hAnsi="Arial" w:cs="Arial"/>
                <w:b/>
                <w:sz w:val="14"/>
                <w:szCs w:val="16"/>
              </w:rPr>
              <w:t>ΚΑΛΛΑΣ»</w:t>
            </w:r>
          </w:p>
        </w:tc>
        <w:tc>
          <w:tcPr>
            <w:tcW w:w="992" w:type="dxa"/>
            <w:tcBorders>
              <w:top w:val="nil"/>
              <w:left w:val="nil"/>
              <w:bottom w:val="single" w:sz="4" w:space="0" w:color="auto"/>
              <w:right w:val="single" w:sz="4" w:space="0" w:color="auto"/>
            </w:tcBorders>
            <w:shd w:val="clear" w:color="auto" w:fill="auto"/>
            <w:noWrap/>
            <w:vAlign w:val="center"/>
          </w:tcPr>
          <w:p w14:paraId="3DE9AC21" w14:textId="4E622F3F" w:rsidR="00EA7CCF" w:rsidRPr="00066D09" w:rsidRDefault="00EA7CCF" w:rsidP="00EA7CCF">
            <w:pPr>
              <w:jc w:val="center"/>
              <w:rPr>
                <w:rFonts w:ascii="Arial" w:hAnsi="Arial" w:cs="Arial"/>
                <w:b/>
                <w:sz w:val="16"/>
                <w:szCs w:val="16"/>
              </w:rPr>
            </w:pPr>
            <w:r>
              <w:rPr>
                <w:rFonts w:ascii="Arial" w:hAnsi="Arial" w:cs="Arial"/>
                <w:b/>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4C1E7CB3" w:rsidR="00EA7CCF" w:rsidRPr="00574D5B" w:rsidRDefault="00EA7CCF" w:rsidP="00EA7CCF">
            <w:pPr>
              <w:jc w:val="center"/>
              <w:rPr>
                <w:rFonts w:ascii="Arial" w:hAnsi="Arial" w:cs="Arial"/>
                <w:b/>
                <w:sz w:val="16"/>
                <w:szCs w:val="16"/>
                <w:lang w:val="en-US"/>
              </w:rPr>
            </w:pPr>
            <w:r>
              <w:rPr>
                <w:rFonts w:ascii="Arial" w:hAnsi="Arial" w:cs="Arial"/>
                <w:b/>
                <w:sz w:val="16"/>
                <w:szCs w:val="16"/>
                <w:lang w:val="en-US"/>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51B39C5" w14:textId="066427FD" w:rsidR="00EA7CCF" w:rsidRPr="002E799B" w:rsidRDefault="00EA7CCF" w:rsidP="00EA7CCF">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E701E1" w14:paraId="7ECC39D0" w14:textId="77777777" w:rsidTr="009053CB">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E701E1" w:rsidRPr="00066D09" w:rsidRDefault="00E701E1" w:rsidP="00E701E1">
            <w:pPr>
              <w:rPr>
                <w:rFonts w:ascii="Arial" w:hAnsi="Arial" w:cs="Arial"/>
                <w:sz w:val="14"/>
                <w:szCs w:val="14"/>
              </w:rPr>
            </w:pPr>
            <w:r>
              <w:rPr>
                <w:rFonts w:ascii="Arial" w:hAnsi="Arial" w:cs="Arial"/>
                <w:b/>
                <w:sz w:val="14"/>
                <w:szCs w:val="14"/>
                <w:lang w:val="en-US"/>
              </w:rPr>
              <w:t>7</w:t>
            </w:r>
          </w:p>
        </w:tc>
        <w:tc>
          <w:tcPr>
            <w:tcW w:w="6095" w:type="dxa"/>
            <w:tcBorders>
              <w:top w:val="nil"/>
              <w:left w:val="nil"/>
              <w:bottom w:val="single" w:sz="4" w:space="0" w:color="auto"/>
              <w:right w:val="single" w:sz="4" w:space="0" w:color="auto"/>
            </w:tcBorders>
            <w:shd w:val="clear" w:color="auto" w:fill="auto"/>
            <w:noWrap/>
            <w:vAlign w:val="center"/>
          </w:tcPr>
          <w:p w14:paraId="4B4846AE" w14:textId="3B180096" w:rsidR="00E701E1" w:rsidRPr="002E296E" w:rsidRDefault="00E701E1" w:rsidP="00E701E1">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sidRPr="002E296E">
              <w:rPr>
                <w:rFonts w:ascii="Arial" w:hAnsi="Arial" w:cs="Arial"/>
                <w:b/>
                <w:sz w:val="14"/>
                <w:szCs w:val="16"/>
              </w:rPr>
              <w:t xml:space="preserve"> 2023 «100 ΧΡΟΝΙΑ ΑΠΟ </w:t>
            </w:r>
            <w:r w:rsidR="002E78BE" w:rsidRPr="002E296E">
              <w:rPr>
                <w:rFonts w:ascii="Arial" w:hAnsi="Arial" w:cs="Arial"/>
                <w:b/>
                <w:sz w:val="14"/>
                <w:szCs w:val="16"/>
              </w:rPr>
              <w:t>ΤΗ ΓΕΝΝΗΣΗ ΤΗΣ Μ.</w:t>
            </w:r>
            <w:r w:rsidRPr="002E296E">
              <w:rPr>
                <w:rFonts w:ascii="Arial" w:hAnsi="Arial" w:cs="Arial"/>
                <w:b/>
                <w:sz w:val="14"/>
                <w:szCs w:val="16"/>
              </w:rPr>
              <w:t>ΚΑΛΛΑΣ»</w:t>
            </w:r>
          </w:p>
        </w:tc>
        <w:tc>
          <w:tcPr>
            <w:tcW w:w="992" w:type="dxa"/>
            <w:tcBorders>
              <w:top w:val="nil"/>
              <w:left w:val="nil"/>
              <w:bottom w:val="single" w:sz="4" w:space="0" w:color="auto"/>
              <w:right w:val="single" w:sz="4" w:space="0" w:color="auto"/>
            </w:tcBorders>
            <w:shd w:val="clear" w:color="auto" w:fill="auto"/>
            <w:noWrap/>
            <w:vAlign w:val="center"/>
          </w:tcPr>
          <w:p w14:paraId="2ECC68FD" w14:textId="26D4C88C" w:rsidR="00E701E1" w:rsidRPr="004B2099" w:rsidRDefault="00E701E1" w:rsidP="00E701E1">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48A2B0B3" w:rsidR="00E701E1" w:rsidRPr="00574D5B" w:rsidRDefault="00E701E1" w:rsidP="00E701E1">
            <w:pPr>
              <w:jc w:val="center"/>
              <w:rPr>
                <w:rFonts w:ascii="Arial" w:hAnsi="Arial" w:cs="Arial"/>
                <w:b/>
                <w:sz w:val="16"/>
                <w:szCs w:val="16"/>
                <w:lang w:val="en-US"/>
              </w:rPr>
            </w:pPr>
            <w:r>
              <w:rPr>
                <w:rFonts w:ascii="Arial" w:hAnsi="Arial" w:cs="Arial"/>
                <w:b/>
                <w:sz w:val="16"/>
                <w:szCs w:val="16"/>
                <w:lang w:val="en-US"/>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47670A4" w14:textId="0954349F" w:rsidR="00E701E1" w:rsidRPr="007A1C1D" w:rsidRDefault="00E701E1" w:rsidP="00E701E1">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0A34A2" w14:paraId="7BAB1891" w14:textId="77777777" w:rsidTr="009053CB">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0A34A2" w:rsidRPr="00066D09" w:rsidRDefault="000A34A2" w:rsidP="000A34A2">
            <w:pPr>
              <w:rPr>
                <w:rFonts w:ascii="Arial" w:hAnsi="Arial" w:cs="Arial"/>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3BA6301B" w:rsidR="000A34A2" w:rsidRPr="002E296E" w:rsidRDefault="000A34A2" w:rsidP="000A34A2">
            <w:pPr>
              <w:rPr>
                <w:rFonts w:ascii="Arial" w:hAnsi="Arial" w:cs="Arial"/>
                <w:b/>
                <w:sz w:val="14"/>
                <w:szCs w:val="16"/>
              </w:rPr>
            </w:pPr>
            <w:r w:rsidRPr="002E296E">
              <w:rPr>
                <w:rFonts w:ascii="Arial" w:hAnsi="Arial" w:cs="Arial"/>
                <w:b/>
                <w:sz w:val="14"/>
                <w:szCs w:val="16"/>
              </w:rPr>
              <w:t>€100 ΧΡΥΣΟ ΣΥΛΛΕΚΤΙΚΟ ΝΟΜΙΣΜΑ «ΕΛΛΗΝΙΚΗ ΜΥΘΟΛΟΓΙΑ – ΟΙ ΘΕΟΙ ΤΟΥ ΟΛΥΜΠΟΥ - ΑΡΤΕΜΙΣ»</w:t>
            </w:r>
          </w:p>
        </w:tc>
        <w:tc>
          <w:tcPr>
            <w:tcW w:w="992" w:type="dxa"/>
            <w:tcBorders>
              <w:top w:val="nil"/>
              <w:left w:val="nil"/>
              <w:bottom w:val="single" w:sz="4" w:space="0" w:color="auto"/>
              <w:right w:val="single" w:sz="4" w:space="0" w:color="auto"/>
            </w:tcBorders>
            <w:shd w:val="clear" w:color="auto" w:fill="auto"/>
            <w:noWrap/>
            <w:vAlign w:val="center"/>
          </w:tcPr>
          <w:p w14:paraId="48E0D744" w14:textId="7F14B99C" w:rsidR="000A34A2" w:rsidRPr="00066D09" w:rsidRDefault="000A34A2" w:rsidP="000A34A2">
            <w:pPr>
              <w:jc w:val="center"/>
              <w:rPr>
                <w:rFonts w:ascii="Arial" w:hAnsi="Arial" w:cs="Arial"/>
                <w:b/>
                <w:sz w:val="16"/>
                <w:szCs w:val="16"/>
              </w:rPr>
            </w:pPr>
            <w:r>
              <w:rPr>
                <w:rFonts w:ascii="Arial" w:hAnsi="Arial" w:cs="Arial"/>
                <w:b/>
                <w:sz w:val="16"/>
                <w:szCs w:val="16"/>
              </w:rPr>
              <w:t>380,00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28FBE857" w:rsidR="000A34A2" w:rsidRPr="00066D09" w:rsidRDefault="000A34A2" w:rsidP="000A34A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DE13B6F" w14:textId="5B1EB616" w:rsidR="000A34A2" w:rsidRPr="00066D09" w:rsidRDefault="000A34A2" w:rsidP="000A34A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B1FFB2" w14:textId="77777777" w:rsidR="000A34A2" w:rsidRPr="007A1C1D" w:rsidRDefault="000A34A2" w:rsidP="000A34A2">
            <w:pPr>
              <w:jc w:val="center"/>
              <w:rPr>
                <w:rFonts w:ascii="Arial" w:hAnsi="Arial" w:cs="Arial"/>
                <w:b/>
                <w:sz w:val="20"/>
                <w:szCs w:val="20"/>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653C46" w:rsidRPr="004B2099" w:rsidRDefault="00653C46" w:rsidP="00653C46">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6746A855" w:rsidR="00653C46" w:rsidRPr="002E296E" w:rsidRDefault="00653C46" w:rsidP="00653C46">
            <w:pPr>
              <w:rPr>
                <w:rFonts w:ascii="Arial" w:hAnsi="Arial" w:cs="Arial"/>
                <w:b/>
                <w:sz w:val="14"/>
                <w:szCs w:val="16"/>
              </w:rPr>
            </w:pPr>
            <w:r w:rsidRPr="002E296E">
              <w:rPr>
                <w:rFonts w:ascii="Arial" w:hAnsi="Arial" w:cs="Arial"/>
                <w:b/>
                <w:sz w:val="14"/>
                <w:szCs w:val="16"/>
              </w:rPr>
              <w:t>€6 ΑΡΓΥΡΟ ΣΥΛΛΕΚΤΙΚΟ ΝΟΜΙΣΜΑ «ΕΛΕΥΣΙΝΑ – ΠΟΛΙΤΙΣΤΙΚΗ ΠΡΩΤΕΥΟΥΣΑ ΤΗΣ ΕΥΡΩΠΗΣ - 2023»</w:t>
            </w:r>
          </w:p>
        </w:tc>
        <w:tc>
          <w:tcPr>
            <w:tcW w:w="992" w:type="dxa"/>
            <w:tcBorders>
              <w:top w:val="nil"/>
              <w:left w:val="nil"/>
              <w:bottom w:val="single" w:sz="4" w:space="0" w:color="auto"/>
              <w:right w:val="single" w:sz="4" w:space="0" w:color="auto"/>
            </w:tcBorders>
            <w:shd w:val="clear" w:color="auto" w:fill="auto"/>
            <w:noWrap/>
            <w:vAlign w:val="center"/>
          </w:tcPr>
          <w:p w14:paraId="50E6055E" w14:textId="10E6FD2B" w:rsidR="00653C46" w:rsidRPr="00C71C50" w:rsidRDefault="00653C46" w:rsidP="00653C46">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48AB110E"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8B4412" w14:paraId="6A01901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8B4412" w:rsidRPr="008D469D" w:rsidRDefault="008B4412" w:rsidP="008B4412">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26D025A5" w:rsidR="008B4412" w:rsidRPr="002E296E" w:rsidRDefault="008B4412" w:rsidP="008B4412">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sidRPr="002E296E">
              <w:rPr>
                <w:rFonts w:ascii="Arial" w:hAnsi="Arial" w:cs="Arial"/>
                <w:b/>
                <w:sz w:val="14"/>
                <w:szCs w:val="16"/>
              </w:rPr>
              <w:t xml:space="preserve"> 2023 «150 ΧΡΟ</w:t>
            </w:r>
            <w:r w:rsidR="00191F18">
              <w:rPr>
                <w:rFonts w:ascii="Arial" w:hAnsi="Arial" w:cs="Arial"/>
                <w:b/>
                <w:sz w:val="14"/>
                <w:szCs w:val="16"/>
              </w:rPr>
              <w:t>ΝΙΑ ΑΠΟ ΤΗ ΓΕΝΝΗΣΗ ΤΟΥ ΚΩ</w:t>
            </w:r>
            <w:r w:rsidR="00191F18">
              <w:rPr>
                <w:rFonts w:ascii="Arial" w:hAnsi="Arial" w:cs="Arial"/>
                <w:b/>
                <w:sz w:val="14"/>
                <w:szCs w:val="16"/>
                <w:lang w:val="en-US"/>
              </w:rPr>
              <w:t>N</w:t>
            </w:r>
            <w:r w:rsidR="00191F18">
              <w:rPr>
                <w:rFonts w:ascii="Arial" w:hAnsi="Arial" w:cs="Arial"/>
                <w:b/>
                <w:sz w:val="14"/>
                <w:szCs w:val="16"/>
              </w:rPr>
              <w:t>/</w:t>
            </w:r>
            <w:r w:rsidRPr="002E296E">
              <w:rPr>
                <w:rFonts w:ascii="Arial" w:hAnsi="Arial" w:cs="Arial"/>
                <w:b/>
                <w:sz w:val="14"/>
                <w:szCs w:val="16"/>
              </w:rPr>
              <w:t>ΝΟΥ ΚΑΡΑΘΕΟΔΩΡΗ.»</w:t>
            </w:r>
          </w:p>
        </w:tc>
        <w:tc>
          <w:tcPr>
            <w:tcW w:w="992" w:type="dxa"/>
            <w:tcBorders>
              <w:top w:val="nil"/>
              <w:left w:val="nil"/>
              <w:bottom w:val="single" w:sz="4" w:space="0" w:color="auto"/>
              <w:right w:val="single" w:sz="4" w:space="0" w:color="auto"/>
            </w:tcBorders>
            <w:shd w:val="clear" w:color="auto" w:fill="auto"/>
            <w:noWrap/>
            <w:vAlign w:val="center"/>
          </w:tcPr>
          <w:p w14:paraId="290AA045" w14:textId="5EA01EDE" w:rsidR="008B4412" w:rsidRDefault="008B4412" w:rsidP="008B4412">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55D768D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29FD004F" w14:textId="5D02FE25"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B4412" w14:paraId="2DF7C97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8B4412" w:rsidRPr="008D469D" w:rsidRDefault="008B4412" w:rsidP="008B4412">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4FE2D1D3" w:rsidR="008B4412" w:rsidRPr="002E296E" w:rsidRDefault="008B4412" w:rsidP="008B4412">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sidRPr="002E296E">
              <w:rPr>
                <w:rFonts w:ascii="Arial" w:hAnsi="Arial" w:cs="Arial"/>
                <w:b/>
                <w:sz w:val="14"/>
                <w:szCs w:val="16"/>
              </w:rPr>
              <w:t xml:space="preserve"> 2023 «150 ΧΡΟ</w:t>
            </w:r>
            <w:r w:rsidR="00191F18">
              <w:rPr>
                <w:rFonts w:ascii="Arial" w:hAnsi="Arial" w:cs="Arial"/>
                <w:b/>
                <w:sz w:val="14"/>
                <w:szCs w:val="16"/>
              </w:rPr>
              <w:t>ΝΙΑ ΑΠΟ ΤΗ ΓΕΝΝΗΣΗ ΤΟΥ ΚΩΝ/</w:t>
            </w:r>
            <w:r w:rsidRPr="002E296E">
              <w:rPr>
                <w:rFonts w:ascii="Arial" w:hAnsi="Arial" w:cs="Arial"/>
                <w:b/>
                <w:sz w:val="14"/>
                <w:szCs w:val="16"/>
              </w:rPr>
              <w:t>ΝΟΥ ΚΑΡΑΘΕΟΔΩΡΗ».</w:t>
            </w:r>
          </w:p>
        </w:tc>
        <w:tc>
          <w:tcPr>
            <w:tcW w:w="992" w:type="dxa"/>
            <w:tcBorders>
              <w:top w:val="nil"/>
              <w:left w:val="nil"/>
              <w:bottom w:val="single" w:sz="4" w:space="0" w:color="auto"/>
              <w:right w:val="single" w:sz="4" w:space="0" w:color="auto"/>
            </w:tcBorders>
            <w:shd w:val="clear" w:color="auto" w:fill="auto"/>
            <w:noWrap/>
            <w:vAlign w:val="center"/>
          </w:tcPr>
          <w:p w14:paraId="026C9E5C" w14:textId="15FE3F84" w:rsidR="008B4412" w:rsidRDefault="008B4412" w:rsidP="008B4412">
            <w:pPr>
              <w:jc w:val="center"/>
              <w:rPr>
                <w:rFonts w:ascii="Arial" w:hAnsi="Arial" w:cs="Arial"/>
                <w:b/>
                <w:sz w:val="16"/>
                <w:szCs w:val="16"/>
              </w:rPr>
            </w:pPr>
            <w:r>
              <w:rPr>
                <w:rFonts w:ascii="Arial" w:hAnsi="Arial" w:cs="Arial"/>
                <w:b/>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43DE01A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0EA012A4" w14:textId="6BB1EEAB"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DF6906"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DF6906" w:rsidRPr="00DF6906" w:rsidRDefault="00DF6906" w:rsidP="00DF6906">
            <w:pPr>
              <w:rPr>
                <w:rFonts w:ascii="Arial" w:hAnsi="Arial" w:cs="Arial"/>
                <w:b/>
                <w:sz w:val="14"/>
                <w:szCs w:val="14"/>
                <w:lang w:val="en-US"/>
              </w:rPr>
            </w:pPr>
            <w:r>
              <w:rPr>
                <w:rFonts w:ascii="Arial" w:hAnsi="Arial" w:cs="Arial"/>
                <w:b/>
                <w:sz w:val="14"/>
                <w:szCs w:val="14"/>
                <w:lang w:val="en-US"/>
              </w:rPr>
              <w:lastRenderedPageBreak/>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636770EF" w:rsidR="00DF6906" w:rsidRPr="002E296E" w:rsidRDefault="000B70D3" w:rsidP="000B70D3">
            <w:pPr>
              <w:rPr>
                <w:rFonts w:ascii="Arial" w:hAnsi="Arial" w:cs="Arial"/>
                <w:b/>
                <w:sz w:val="14"/>
                <w:szCs w:val="16"/>
              </w:rPr>
            </w:pPr>
            <w:r w:rsidRPr="002E296E">
              <w:rPr>
                <w:rFonts w:ascii="Arial" w:hAnsi="Arial" w:cs="Arial"/>
                <w:b/>
                <w:sz w:val="14"/>
                <w:szCs w:val="16"/>
              </w:rPr>
              <w:t>€</w:t>
            </w:r>
            <w:r w:rsidR="00DF6906" w:rsidRPr="002E296E">
              <w:rPr>
                <w:rFonts w:ascii="Arial" w:hAnsi="Arial" w:cs="Arial"/>
                <w:b/>
                <w:sz w:val="14"/>
                <w:szCs w:val="16"/>
              </w:rPr>
              <w:t xml:space="preserve">5 ΑΡΓΥΡΟ ΣΥΛΛΕΚΤΙΚΟ ΝΟΜΙΣΜΑ 2023 «ΠΕΡΙΒΑΛΛΟΝ – ΕΝΔΗΜΙΚΑ ΦΥΤΑ ΤΗΣ ΕΛΛΑΔΑΣ – </w:t>
            </w:r>
            <w:r w:rsidR="00DF6906" w:rsidRPr="002E296E">
              <w:rPr>
                <w:rFonts w:ascii="Arial" w:hAnsi="Arial" w:cs="Arial"/>
                <w:b/>
                <w:sz w:val="14"/>
                <w:szCs w:val="16"/>
                <w:lang w:val="en-US"/>
              </w:rPr>
              <w:t>FRITIL</w:t>
            </w:r>
            <w:r w:rsidR="00C022FD" w:rsidRPr="002E296E">
              <w:rPr>
                <w:rFonts w:ascii="Arial" w:hAnsi="Arial" w:cs="Arial"/>
                <w:b/>
                <w:sz w:val="14"/>
                <w:szCs w:val="16"/>
                <w:lang w:val="en-US"/>
              </w:rPr>
              <w:t>L</w:t>
            </w:r>
            <w:r w:rsidR="00DF6906" w:rsidRPr="002E296E">
              <w:rPr>
                <w:rFonts w:ascii="Arial" w:hAnsi="Arial" w:cs="Arial"/>
                <w:b/>
                <w:sz w:val="14"/>
                <w:szCs w:val="16"/>
                <w:lang w:val="en-US"/>
              </w:rPr>
              <w:t>ARIA</w:t>
            </w:r>
            <w:r w:rsidR="00DF6906" w:rsidRPr="002E296E">
              <w:rPr>
                <w:rFonts w:ascii="Arial" w:hAnsi="Arial" w:cs="Arial"/>
                <w:b/>
                <w:sz w:val="14"/>
                <w:szCs w:val="16"/>
              </w:rPr>
              <w:t xml:space="preserve"> </w:t>
            </w:r>
            <w:r w:rsidR="00DF6906" w:rsidRPr="002E296E">
              <w:rPr>
                <w:rFonts w:ascii="Arial" w:hAnsi="Arial" w:cs="Arial"/>
                <w:b/>
                <w:sz w:val="14"/>
                <w:szCs w:val="16"/>
                <w:lang w:val="en-US"/>
              </w:rPr>
              <w:t>DAVISII</w:t>
            </w:r>
            <w:r w:rsidR="00DF690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5D46B91" w:rsidR="00DF6906" w:rsidRDefault="00DF6906" w:rsidP="00DF6906">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DF6906" w:rsidRDefault="00DF6906" w:rsidP="00DF690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DF6906" w:rsidRPr="00465732" w:rsidRDefault="00DF6906" w:rsidP="00DF6906">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DF6906" w:rsidRPr="00465732" w:rsidRDefault="00DF6906" w:rsidP="00DF6906">
            <w:pPr>
              <w:jc w:val="center"/>
              <w:rPr>
                <w:rFonts w:ascii="Arial" w:hAnsi="Arial" w:cs="Arial"/>
                <w:b/>
                <w:sz w:val="22"/>
                <w:szCs w:val="22"/>
              </w:rPr>
            </w:pPr>
          </w:p>
        </w:tc>
      </w:tr>
      <w:tr w:rsidR="002E78BE" w14:paraId="2AB39E6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2FA61D32" w:rsidR="002E78BE" w:rsidRPr="002E78BE" w:rsidRDefault="002E78BE" w:rsidP="002E78BE">
            <w:pPr>
              <w:rPr>
                <w:rFonts w:ascii="Arial" w:hAnsi="Arial" w:cs="Arial"/>
                <w:b/>
                <w:sz w:val="14"/>
                <w:szCs w:val="14"/>
              </w:rPr>
            </w:pPr>
            <w:r>
              <w:rPr>
                <w:rFonts w:ascii="Arial" w:hAnsi="Arial" w:cs="Arial"/>
                <w:b/>
                <w:sz w:val="14"/>
                <w:szCs w:val="14"/>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76301FCD" w:rsidR="002E78BE" w:rsidRPr="002E296E" w:rsidRDefault="002E78BE" w:rsidP="002E78BE">
            <w:pPr>
              <w:rPr>
                <w:rFonts w:ascii="Arial" w:hAnsi="Arial" w:cs="Arial"/>
                <w:b/>
                <w:sz w:val="14"/>
                <w:szCs w:val="16"/>
              </w:rPr>
            </w:pPr>
            <w:r w:rsidRPr="002E296E">
              <w:rPr>
                <w:rFonts w:ascii="Arial" w:hAnsi="Arial" w:cs="Arial"/>
                <w:b/>
                <w:sz w:val="14"/>
                <w:szCs w:val="16"/>
              </w:rPr>
              <w:t>€50 ΧΡΥΣΟ ΣΥΛΛΕΚΤΙΚΟ ΝΟΜΙΣΜΑ «ΠΟΛΙΤΙΣΤΙΚΗ ΚΛΗΡΟΝΟΜΙΑ - ΔΗΛΟΣ»</w:t>
            </w:r>
          </w:p>
        </w:tc>
        <w:tc>
          <w:tcPr>
            <w:tcW w:w="992" w:type="dxa"/>
            <w:tcBorders>
              <w:top w:val="nil"/>
              <w:left w:val="nil"/>
              <w:bottom w:val="single" w:sz="4" w:space="0" w:color="auto"/>
              <w:right w:val="single" w:sz="4" w:space="0" w:color="auto"/>
            </w:tcBorders>
            <w:shd w:val="clear" w:color="auto" w:fill="auto"/>
            <w:noWrap/>
            <w:vAlign w:val="center"/>
          </w:tcPr>
          <w:p w14:paraId="191A1593" w14:textId="0A711001" w:rsidR="002E78BE" w:rsidRDefault="002E78BE" w:rsidP="002E78BE">
            <w:pPr>
              <w:jc w:val="center"/>
              <w:rPr>
                <w:rFonts w:ascii="Arial" w:hAnsi="Arial" w:cs="Arial"/>
                <w:b/>
                <w:sz w:val="16"/>
                <w:szCs w:val="16"/>
              </w:rPr>
            </w:pPr>
            <w:r>
              <w:rPr>
                <w:rFonts w:ascii="Arial" w:hAnsi="Arial" w:cs="Arial"/>
                <w:b/>
                <w:sz w:val="16"/>
                <w:szCs w:val="16"/>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2E78BE" w:rsidRDefault="002E78BE" w:rsidP="002E78BE">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2E78BE" w:rsidRPr="00066D09" w:rsidRDefault="002E78BE" w:rsidP="002E78BE">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2E78BE" w:rsidRPr="00465732" w:rsidRDefault="002E78BE" w:rsidP="002E78BE">
            <w:pPr>
              <w:jc w:val="center"/>
              <w:rPr>
                <w:rFonts w:ascii="Arial" w:hAnsi="Arial" w:cs="Arial"/>
                <w:b/>
                <w:sz w:val="22"/>
                <w:szCs w:val="22"/>
              </w:rPr>
            </w:pPr>
          </w:p>
        </w:tc>
      </w:tr>
      <w:tr w:rsidR="00E378D7" w14:paraId="1541019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28EA8DF5" w:rsidR="00E378D7" w:rsidRDefault="00E378D7" w:rsidP="00E378D7">
            <w:pPr>
              <w:rPr>
                <w:rFonts w:ascii="Arial" w:hAnsi="Arial" w:cs="Arial"/>
                <w:b/>
                <w:sz w:val="14"/>
                <w:szCs w:val="14"/>
              </w:rPr>
            </w:pPr>
            <w:r>
              <w:rPr>
                <w:rFonts w:ascii="Arial" w:hAnsi="Arial" w:cs="Arial"/>
                <w:b/>
                <w:sz w:val="14"/>
                <w:szCs w:val="14"/>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5F1CF5B0" w:rsidR="00E378D7" w:rsidRPr="002E296E" w:rsidRDefault="00E378D7" w:rsidP="00E378D7">
            <w:pPr>
              <w:rPr>
                <w:rFonts w:ascii="Arial" w:hAnsi="Arial" w:cs="Arial"/>
                <w:b/>
                <w:sz w:val="14"/>
                <w:szCs w:val="16"/>
              </w:rPr>
            </w:pPr>
            <w:r w:rsidRPr="002E296E">
              <w:rPr>
                <w:rFonts w:ascii="Arial" w:hAnsi="Arial" w:cs="Arial"/>
                <w:b/>
                <w:sz w:val="14"/>
                <w:szCs w:val="16"/>
              </w:rPr>
              <w:t>€6 ΑΡΓΥΡΟ ΣΥΛΛΕΚΤΙΚΟ ΝΟΜΙΣΜΑ «20 ΧΡΟΝΙΑ ΑΠΟ ΤΟ ΘΑΝΑΤΟ ΤΟΥ ΑΝΤΩΝΗ ΣΑΜΑΡΑΚΗ»</w:t>
            </w:r>
          </w:p>
        </w:tc>
        <w:tc>
          <w:tcPr>
            <w:tcW w:w="992" w:type="dxa"/>
            <w:tcBorders>
              <w:top w:val="nil"/>
              <w:left w:val="nil"/>
              <w:bottom w:val="single" w:sz="4" w:space="0" w:color="auto"/>
              <w:right w:val="single" w:sz="4" w:space="0" w:color="auto"/>
            </w:tcBorders>
            <w:shd w:val="clear" w:color="auto" w:fill="auto"/>
            <w:noWrap/>
            <w:vAlign w:val="center"/>
          </w:tcPr>
          <w:p w14:paraId="5F3B18F8" w14:textId="43AFCE47" w:rsidR="00E378D7" w:rsidRDefault="00E378D7" w:rsidP="00E378D7">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4A895C19" w:rsidR="00E378D7" w:rsidRDefault="00E378D7" w:rsidP="00E378D7">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394132A7" w14:textId="67C45DC2" w:rsidR="00E378D7" w:rsidRPr="00465732" w:rsidRDefault="00E378D7" w:rsidP="00E378D7">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191F18"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7915BED" w:rsidR="00191F18" w:rsidRDefault="00191F18" w:rsidP="00191F18">
            <w:pPr>
              <w:rPr>
                <w:rFonts w:ascii="Arial" w:hAnsi="Arial" w:cs="Arial"/>
                <w:b/>
                <w:sz w:val="14"/>
                <w:szCs w:val="14"/>
              </w:rPr>
            </w:pPr>
            <w:r>
              <w:rPr>
                <w:rFonts w:ascii="Arial" w:hAnsi="Arial" w:cs="Arial"/>
                <w:b/>
                <w:sz w:val="14"/>
                <w:szCs w:val="14"/>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704BD7D9" w:rsidR="00191F18" w:rsidRPr="002E296E" w:rsidRDefault="00191F18" w:rsidP="00191F18">
            <w:pPr>
              <w:rPr>
                <w:rFonts w:ascii="Arial" w:hAnsi="Arial" w:cs="Arial"/>
                <w:b/>
                <w:sz w:val="14"/>
                <w:szCs w:val="16"/>
              </w:rPr>
            </w:pPr>
            <w:r w:rsidRPr="002E296E">
              <w:rPr>
                <w:rFonts w:ascii="Arial" w:hAnsi="Arial" w:cs="Arial"/>
                <w:b/>
                <w:sz w:val="14"/>
                <w:szCs w:val="16"/>
              </w:rPr>
              <w:t>€6 ΑΡΓΥΡΟ ΣΥΛΛΕΚΤΙΚΟ ΝΟΜΙΣΜΑ «</w:t>
            </w:r>
            <w:r w:rsidRPr="00191F18">
              <w:rPr>
                <w:rFonts w:ascii="Arial" w:hAnsi="Arial" w:cs="Arial"/>
                <w:b/>
                <w:sz w:val="14"/>
                <w:szCs w:val="16"/>
              </w:rPr>
              <w:t>50 ΧΡΟΝΙΑ ΑΠΟ ΤΗΝ ΕΞΕΓΕΡΣΗ ΤΟΥ ΠΟΛΥΤΕΧΝΕΙΟΥ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7854E743" w:rsidR="00191F18" w:rsidRDefault="00191F18" w:rsidP="00191F18">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191F18" w:rsidRDefault="00191F18" w:rsidP="00191F1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191F18" w:rsidRPr="00465732" w:rsidRDefault="00191F18" w:rsidP="00191F1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191F18" w:rsidRPr="00465732" w:rsidRDefault="00191F18" w:rsidP="00191F18">
            <w:pPr>
              <w:jc w:val="center"/>
              <w:rPr>
                <w:rFonts w:ascii="Arial" w:hAnsi="Arial" w:cs="Arial"/>
                <w:b/>
                <w:sz w:val="22"/>
                <w:szCs w:val="22"/>
              </w:rPr>
            </w:pPr>
          </w:p>
        </w:tc>
      </w:tr>
      <w:tr w:rsidR="009053CB"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7700233" w:rsidR="009053CB" w:rsidRDefault="009053CB" w:rsidP="009053CB">
            <w:pPr>
              <w:rPr>
                <w:rFonts w:ascii="Arial" w:hAnsi="Arial" w:cs="Arial"/>
                <w:b/>
                <w:sz w:val="14"/>
                <w:szCs w:val="14"/>
              </w:rPr>
            </w:pPr>
            <w:r>
              <w:rPr>
                <w:rFonts w:ascii="Arial" w:hAnsi="Arial" w:cs="Arial"/>
                <w:b/>
                <w:sz w:val="14"/>
                <w:szCs w:val="14"/>
              </w:rPr>
              <w:t>16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166CC674" w:rsidR="009053CB" w:rsidRPr="002E296E" w:rsidRDefault="009053CB" w:rsidP="009053CB">
            <w:pPr>
              <w:rPr>
                <w:rFonts w:ascii="Arial" w:hAnsi="Arial" w:cs="Arial"/>
                <w:b/>
                <w:sz w:val="14"/>
                <w:szCs w:val="16"/>
              </w:rPr>
            </w:pPr>
            <w:r w:rsidRPr="002E296E">
              <w:rPr>
                <w:rFonts w:ascii="Arial" w:hAnsi="Arial" w:cs="Arial"/>
                <w:b/>
                <w:sz w:val="14"/>
                <w:szCs w:val="16"/>
              </w:rPr>
              <w:t>€5 ΑΡΓΥΡΟ ΣΥΛΛΕΚΤΙΚΟ ΝΟΜΙΣΜΑ 2023 «</w:t>
            </w:r>
            <w:r w:rsidRPr="009053CB">
              <w:rPr>
                <w:rFonts w:ascii="Arial" w:hAnsi="Arial" w:cs="Arial"/>
                <w:b/>
                <w:sz w:val="14"/>
                <w:szCs w:val="16"/>
              </w:rPr>
              <w:t>200 ΧΡΟΝΙΑ ΑΠΟ ΤΗ ΜΑΧΗ ΤΟΥ ΚΑΡΠΕΝΗΣΙΟΥ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7E0C076B" w:rsidR="009053CB" w:rsidRDefault="009053CB" w:rsidP="009053CB">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9053CB" w:rsidRDefault="009053CB" w:rsidP="009053C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9053CB" w:rsidRPr="00066D09" w:rsidRDefault="009053CB" w:rsidP="009053CB">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9053CB" w:rsidRPr="00465732" w:rsidRDefault="009053CB" w:rsidP="009053CB">
            <w:pPr>
              <w:jc w:val="center"/>
              <w:rPr>
                <w:rFonts w:ascii="Arial" w:hAnsi="Arial" w:cs="Arial"/>
                <w:b/>
                <w:sz w:val="22"/>
                <w:szCs w:val="22"/>
              </w:rPr>
            </w:pPr>
          </w:p>
        </w:tc>
      </w:tr>
      <w:tr w:rsidR="009053CB"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9053CB" w:rsidRPr="004E6EA5" w:rsidRDefault="009053CB" w:rsidP="009053CB">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9053CB" w:rsidRPr="009053CB" w:rsidRDefault="009053CB" w:rsidP="009053CB">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9053CB" w:rsidRPr="009E2ADC" w:rsidRDefault="009053CB" w:rsidP="009053CB">
            <w:pPr>
              <w:jc w:val="center"/>
              <w:rPr>
                <w:rFonts w:ascii="Arial" w:hAnsi="Arial" w:cs="Arial"/>
                <w:sz w:val="20"/>
                <w:szCs w:val="20"/>
                <w:lang w:val="en-US"/>
              </w:rPr>
            </w:pPr>
          </w:p>
        </w:tc>
      </w:tr>
      <w:tr w:rsidR="009053CB"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9053CB" w:rsidRDefault="009053CB" w:rsidP="009053CB">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9053CB" w:rsidRPr="00FA4639" w:rsidRDefault="009053CB" w:rsidP="009053CB">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9053CB" w:rsidRPr="009E2ADC" w:rsidRDefault="009053CB" w:rsidP="009053CB">
            <w:pPr>
              <w:rPr>
                <w:rFonts w:ascii="Arial" w:hAnsi="Arial" w:cs="Arial"/>
                <w:b/>
                <w:sz w:val="20"/>
                <w:szCs w:val="20"/>
                <w:lang w:val="en-US"/>
              </w:rPr>
            </w:pPr>
          </w:p>
        </w:tc>
      </w:tr>
      <w:tr w:rsidR="009053CB"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9053CB"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9053CB" w:rsidRPr="0013125E" w:rsidRDefault="009053CB" w:rsidP="009053CB">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9053CB" w:rsidRPr="003714D5" w:rsidRDefault="009053CB" w:rsidP="009053CB">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59F003DA" w14:textId="085FC4F3" w:rsidR="007A208D" w:rsidRDefault="007A208D" w:rsidP="00C36CD8">
      <w:pPr>
        <w:ind w:left="-2340" w:right="-2404"/>
        <w:jc w:val="both"/>
        <w:rPr>
          <w:b/>
          <w:spacing w:val="-4"/>
          <w:sz w:val="22"/>
          <w:szCs w:val="22"/>
        </w:rPr>
      </w:pPr>
    </w:p>
    <w:p w14:paraId="5D1344B7" w14:textId="4740014A" w:rsidR="00201327" w:rsidRDefault="00201327" w:rsidP="00C36CD8">
      <w:pPr>
        <w:ind w:left="-2340" w:right="-2404"/>
        <w:jc w:val="both"/>
        <w:rPr>
          <w:b/>
          <w:spacing w:val="-4"/>
          <w:sz w:val="22"/>
          <w:szCs w:val="22"/>
        </w:rPr>
      </w:pPr>
    </w:p>
    <w:p w14:paraId="7D7E416E" w14:textId="77777777" w:rsidR="00201327" w:rsidRDefault="00201327" w:rsidP="00C36CD8">
      <w:pPr>
        <w:ind w:left="-2340" w:right="-2404"/>
        <w:jc w:val="both"/>
        <w:rPr>
          <w:b/>
          <w:spacing w:val="-4"/>
          <w:sz w:val="22"/>
          <w:szCs w:val="22"/>
        </w:rPr>
      </w:pPr>
    </w:p>
    <w:p w14:paraId="49AE2F0D" w14:textId="77777777" w:rsidR="007A208D" w:rsidRPr="00C36CD8" w:rsidRDefault="007A208D" w:rsidP="00C36CD8">
      <w:pPr>
        <w:ind w:left="-2340"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lastRenderedPageBreak/>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4"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5"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1C7C639A" w:rsidR="00201327" w:rsidRDefault="00201327"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lastRenderedPageBreak/>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07D3" w14:textId="77777777" w:rsidR="00352F94" w:rsidRDefault="00352F94" w:rsidP="00D73D85">
      <w:r>
        <w:separator/>
      </w:r>
    </w:p>
  </w:endnote>
  <w:endnote w:type="continuationSeparator" w:id="0">
    <w:p w14:paraId="57569794" w14:textId="77777777" w:rsidR="00352F94" w:rsidRDefault="00352F94"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4C6A" w14:textId="77777777" w:rsidR="00352F94" w:rsidRDefault="00352F94" w:rsidP="00D73D85">
      <w:r>
        <w:separator/>
      </w:r>
    </w:p>
  </w:footnote>
  <w:footnote w:type="continuationSeparator" w:id="0">
    <w:p w14:paraId="75A80B62" w14:textId="77777777" w:rsidR="00352F94" w:rsidRDefault="00352F94"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UMBzMDqQKRg7rvQS5vtIw8+Af3CfjTC74P1ljCk+eFv5B7Xw+Wat1k7VTGId6E1lNlRK3LaUvK8X6jNKFvK1Xg==" w:salt="hJoHlamZ5jVqYDHQNaCguA=="/>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914A3"/>
    <w:rsid w:val="000948B8"/>
    <w:rsid w:val="000A143D"/>
    <w:rsid w:val="000A34A2"/>
    <w:rsid w:val="000B0311"/>
    <w:rsid w:val="000B70D3"/>
    <w:rsid w:val="000B7839"/>
    <w:rsid w:val="000D1A7E"/>
    <w:rsid w:val="00140B00"/>
    <w:rsid w:val="00141D81"/>
    <w:rsid w:val="00150DFA"/>
    <w:rsid w:val="00155E73"/>
    <w:rsid w:val="0016103A"/>
    <w:rsid w:val="00183C3D"/>
    <w:rsid w:val="00191F18"/>
    <w:rsid w:val="00192392"/>
    <w:rsid w:val="001930EA"/>
    <w:rsid w:val="001E397C"/>
    <w:rsid w:val="001E7FF3"/>
    <w:rsid w:val="001F2B83"/>
    <w:rsid w:val="00201327"/>
    <w:rsid w:val="00221BD1"/>
    <w:rsid w:val="00235CE0"/>
    <w:rsid w:val="00237EDB"/>
    <w:rsid w:val="00247139"/>
    <w:rsid w:val="00260A88"/>
    <w:rsid w:val="00272DD6"/>
    <w:rsid w:val="00286CF0"/>
    <w:rsid w:val="00294AA6"/>
    <w:rsid w:val="002E296E"/>
    <w:rsid w:val="002E78BE"/>
    <w:rsid w:val="002F573D"/>
    <w:rsid w:val="00321293"/>
    <w:rsid w:val="00334850"/>
    <w:rsid w:val="00340DEC"/>
    <w:rsid w:val="00352F94"/>
    <w:rsid w:val="003560E0"/>
    <w:rsid w:val="003714D5"/>
    <w:rsid w:val="003A3738"/>
    <w:rsid w:val="003C7059"/>
    <w:rsid w:val="003E6644"/>
    <w:rsid w:val="003F23BE"/>
    <w:rsid w:val="004104CF"/>
    <w:rsid w:val="0043695A"/>
    <w:rsid w:val="00450CB6"/>
    <w:rsid w:val="00465732"/>
    <w:rsid w:val="0048174E"/>
    <w:rsid w:val="00487D93"/>
    <w:rsid w:val="00495ED4"/>
    <w:rsid w:val="004B2099"/>
    <w:rsid w:val="004C6D71"/>
    <w:rsid w:val="004C7CA6"/>
    <w:rsid w:val="00513508"/>
    <w:rsid w:val="00541F6A"/>
    <w:rsid w:val="00542A10"/>
    <w:rsid w:val="00574D5B"/>
    <w:rsid w:val="00595FB5"/>
    <w:rsid w:val="005B783C"/>
    <w:rsid w:val="005E79BF"/>
    <w:rsid w:val="006015FE"/>
    <w:rsid w:val="00603BFC"/>
    <w:rsid w:val="006051E7"/>
    <w:rsid w:val="006170B8"/>
    <w:rsid w:val="0063622B"/>
    <w:rsid w:val="00653C46"/>
    <w:rsid w:val="00673A32"/>
    <w:rsid w:val="006E2339"/>
    <w:rsid w:val="006E3481"/>
    <w:rsid w:val="00706158"/>
    <w:rsid w:val="007922AB"/>
    <w:rsid w:val="007A208D"/>
    <w:rsid w:val="007D0DDA"/>
    <w:rsid w:val="007D6CB7"/>
    <w:rsid w:val="007E659C"/>
    <w:rsid w:val="007F29C3"/>
    <w:rsid w:val="008154B5"/>
    <w:rsid w:val="0084073E"/>
    <w:rsid w:val="00841A9B"/>
    <w:rsid w:val="00846EA3"/>
    <w:rsid w:val="00895AC5"/>
    <w:rsid w:val="008B4412"/>
    <w:rsid w:val="008C0C05"/>
    <w:rsid w:val="008C5F5C"/>
    <w:rsid w:val="008D469D"/>
    <w:rsid w:val="008E077C"/>
    <w:rsid w:val="009053CB"/>
    <w:rsid w:val="00921209"/>
    <w:rsid w:val="009469DD"/>
    <w:rsid w:val="00960AB9"/>
    <w:rsid w:val="009A0630"/>
    <w:rsid w:val="009A36A6"/>
    <w:rsid w:val="009B6DA1"/>
    <w:rsid w:val="009C7DFB"/>
    <w:rsid w:val="00A05588"/>
    <w:rsid w:val="00A241F6"/>
    <w:rsid w:val="00A555E3"/>
    <w:rsid w:val="00A648BC"/>
    <w:rsid w:val="00A90858"/>
    <w:rsid w:val="00AD21D4"/>
    <w:rsid w:val="00AE3C0E"/>
    <w:rsid w:val="00AF4B9E"/>
    <w:rsid w:val="00B02B37"/>
    <w:rsid w:val="00B24736"/>
    <w:rsid w:val="00B35CAD"/>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01"/>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3.xml><?xml version="1.0" encoding="utf-8"?>
<ds:datastoreItem xmlns:ds="http://schemas.openxmlformats.org/officeDocument/2006/customXml" ds:itemID="{A1BAF030-45F8-4DF7-BF12-3F02193F1555}">
  <ds:schemaRefs>
    <ds:schemaRef ds:uri="http://schemas.microsoft.com/sharepoint/v3"/>
    <ds:schemaRef ds:uri="http://purl.org/dc/dcmitype/"/>
    <ds:schemaRef ds:uri="http://schemas.openxmlformats.org/package/2006/metadata/core-properties"/>
    <ds:schemaRef ds:uri="http://www.w3.org/XML/1998/namespace"/>
    <ds:schemaRef ds:uri="http://purl.org/dc/elements/1.1/"/>
    <ds:schemaRef ds:uri="8e878111-5d44-4ac0-8d7d-001e9b3d0fd0"/>
    <ds:schemaRef ds:uri="http://schemas.microsoft.com/office/2006/metadata/properties"/>
    <ds:schemaRef ds:uri="a029a951-197a-4454-90a0-4e8ba8bb2239"/>
    <ds:schemaRef ds:uri="http://schemas.microsoft.com/office/2006/documentManagement/types"/>
    <ds:schemaRef ds:uri="http://schemas.microsoft.com/office/infopath/2007/PartnerControls"/>
    <ds:schemaRef ds:uri="a2c98312-a1a7-4c30-9dfa-e35e7a09d1f3"/>
    <ds:schemaRef ds:uri="http://purl.org/dc/terms/"/>
  </ds:schemaRefs>
</ds:datastoreItem>
</file>

<file path=customXml/itemProps4.xml><?xml version="1.0" encoding="utf-8"?>
<ds:datastoreItem xmlns:ds="http://schemas.openxmlformats.org/officeDocument/2006/customXml" ds:itemID="{570F965D-3AFD-439D-8462-0555AF83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2023-06-27T05:09:00Z</dcterms:created>
  <dcterms:modified xsi:type="dcterms:W3CDTF">2024-01-23T06:17:00Z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